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B5349" w:rsidRDefault="000B5349" w:rsidP="000B5349">
      <w:pPr>
        <w:spacing w:line="257" w:lineRule="auto"/>
        <w:jc w:val="center"/>
        <w:rPr>
          <w:b/>
          <w:bCs/>
          <w:sz w:val="28"/>
          <w:szCs w:val="28"/>
          <w:u w:val="single"/>
        </w:rPr>
      </w:pPr>
      <w:r w:rsidRPr="00F6260E">
        <w:rPr>
          <w:b/>
          <w:bCs/>
          <w:sz w:val="28"/>
          <w:szCs w:val="28"/>
          <w:u w:val="single"/>
        </w:rPr>
        <w:t xml:space="preserve">Перечень мер поддержки МСП при </w:t>
      </w:r>
      <w:proofErr w:type="spellStart"/>
      <w:r w:rsidRPr="00F6260E">
        <w:rPr>
          <w:b/>
          <w:bCs/>
          <w:sz w:val="28"/>
          <w:szCs w:val="28"/>
          <w:u w:val="single"/>
        </w:rPr>
        <w:t>коронавирусе</w:t>
      </w:r>
      <w:proofErr w:type="spellEnd"/>
    </w:p>
    <w:p w:rsidR="00F6260E" w:rsidRPr="00F6260E" w:rsidRDefault="00F6260E" w:rsidP="000B5349">
      <w:pPr>
        <w:spacing w:line="257" w:lineRule="auto"/>
        <w:jc w:val="center"/>
        <w:rPr>
          <w:b/>
          <w:bCs/>
          <w:sz w:val="28"/>
          <w:szCs w:val="28"/>
          <w:u w:val="single"/>
        </w:rPr>
      </w:pPr>
    </w:p>
    <w:p w:rsidR="000B5349" w:rsidRPr="00DD67F5" w:rsidRDefault="000B5349" w:rsidP="000B5349">
      <w:pPr>
        <w:spacing w:line="257" w:lineRule="auto"/>
      </w:pP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2045"/>
        <w:gridCol w:w="4336"/>
        <w:gridCol w:w="1588"/>
        <w:gridCol w:w="2368"/>
      </w:tblGrid>
      <w:tr w:rsidR="003B7067" w:rsidRPr="003B7067" w:rsidTr="00D23AD1">
        <w:tc>
          <w:tcPr>
            <w:tcW w:w="1844" w:type="dxa"/>
          </w:tcPr>
          <w:p w:rsidR="000B5349" w:rsidRPr="003B7067" w:rsidRDefault="000B5349" w:rsidP="00885892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Меры поддержки</w:t>
            </w:r>
          </w:p>
          <w:p w:rsidR="000B5349" w:rsidRPr="003B7067" w:rsidRDefault="000B5349" w:rsidP="00885892">
            <w:pPr>
              <w:spacing w:line="257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0B5349" w:rsidRPr="003B7067" w:rsidRDefault="000B5349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Комментарий и условия применения</w:t>
            </w:r>
          </w:p>
          <w:p w:rsidR="000B5349" w:rsidRPr="003B7067" w:rsidRDefault="000B5349" w:rsidP="00885892">
            <w:pPr>
              <w:spacing w:line="257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3" w:type="dxa"/>
          </w:tcPr>
          <w:p w:rsidR="000B5349" w:rsidRPr="003B7067" w:rsidRDefault="001C200E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 xml:space="preserve">Сроки действия меры </w:t>
            </w:r>
          </w:p>
        </w:tc>
        <w:tc>
          <w:tcPr>
            <w:tcW w:w="2189" w:type="dxa"/>
          </w:tcPr>
          <w:p w:rsidR="000B5349" w:rsidRPr="003B7067" w:rsidRDefault="001C200E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На кого распространяется</w:t>
            </w:r>
          </w:p>
        </w:tc>
      </w:tr>
      <w:tr w:rsidR="003B7067" w:rsidRPr="003B7067" w:rsidTr="00D23AD1">
        <w:tc>
          <w:tcPr>
            <w:tcW w:w="1844" w:type="dxa"/>
            <w:vMerge w:val="restart"/>
          </w:tcPr>
          <w:p w:rsidR="00F6260E" w:rsidRPr="003B7067" w:rsidRDefault="00F6260E" w:rsidP="00885892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Продление сроков уплаты налогов</w:t>
            </w:r>
          </w:p>
        </w:tc>
        <w:tc>
          <w:tcPr>
            <w:tcW w:w="4661" w:type="dxa"/>
          </w:tcPr>
          <w:p w:rsidR="00F6260E" w:rsidRPr="003B7067" w:rsidRDefault="00F6260E" w:rsidP="001C200E">
            <w:pPr>
              <w:tabs>
                <w:tab w:val="left" w:pos="2202"/>
              </w:tabs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налога на прибыль, УСН, ЕСХН за 2019 год;</w:t>
            </w:r>
          </w:p>
          <w:p w:rsidR="00F6260E" w:rsidRPr="003B7067" w:rsidRDefault="00F6260E" w:rsidP="001C200E">
            <w:pPr>
              <w:tabs>
                <w:tab w:val="left" w:pos="2202"/>
              </w:tabs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налогов (авансовых платежей по налогу), за исключением НДС и НДФЛ, за отчетные периоды, приходящиеся на 1 квартал 2020 года;</w:t>
            </w:r>
          </w:p>
        </w:tc>
        <w:tc>
          <w:tcPr>
            <w:tcW w:w="1643" w:type="dxa"/>
          </w:tcPr>
          <w:p w:rsidR="00F6260E" w:rsidRPr="003B7067" w:rsidRDefault="00F6260E" w:rsidP="00885892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6 месяцев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для организаций </w:t>
            </w:r>
            <w:r w:rsidRPr="003B7067">
              <w:rPr>
                <w:sz w:val="24"/>
                <w:szCs w:val="24"/>
              </w:rPr>
              <w:br/>
              <w:t>и ИП, включенных по состоянию на 01.03.2020 в реестр МСП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налогов (авансовых платежей по налогу), за исключением НДС и НДФЛ, за отчетные периоды, приходящиеся на полугодие (2 квартал) 2020 года.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4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первый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октября 2020 года;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второй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декабря 2020 года.</w:t>
            </w:r>
          </w:p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НДФЛ за 2019 год в соответствии с п.6 ст.227 Кодекса (для ИП);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страховых взносов за март-май 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6 месяцев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F6260E">
            <w:pPr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для </w:t>
            </w:r>
            <w:proofErr w:type="spellStart"/>
            <w:r w:rsidRPr="003B7067">
              <w:rPr>
                <w:sz w:val="24"/>
                <w:szCs w:val="24"/>
              </w:rPr>
              <w:t>микропредприятий</w:t>
            </w:r>
            <w:proofErr w:type="spellEnd"/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страховых взносов за июнь и июль 2020 года и страховых взносов, исчисленных с суммы дохода ИП, превышающей 300 000 рублей, подлежащих уплате не позднее 1 июля 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4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налога на прибыль, УСН, ЕСХН за 2019 год;</w:t>
            </w:r>
          </w:p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налогов (авансовых платежей по налогу), за исключением НДС и НДФЛ, за отчетные периоды, приходящиеся на 1 квартал 2020 года и на полугодие (2 квартал) 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proofErr w:type="gramStart"/>
            <w:r w:rsidRPr="003B7067">
              <w:rPr>
                <w:sz w:val="24"/>
                <w:szCs w:val="24"/>
              </w:rPr>
              <w:t>для  организаций</w:t>
            </w:r>
            <w:proofErr w:type="gramEnd"/>
            <w:r w:rsidRPr="003B7067">
              <w:rPr>
                <w:sz w:val="24"/>
                <w:szCs w:val="24"/>
              </w:rPr>
              <w:t xml:space="preserve"> и ИП, не включенных по состоянию на 01.03.2020 в реестр МСП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продление сроков уплаты авансовых платежей по транспортному налогу, </w:t>
            </w:r>
            <w:r w:rsidRPr="003B7067">
              <w:rPr>
                <w:sz w:val="24"/>
                <w:szCs w:val="24"/>
              </w:rPr>
              <w:lastRenderedPageBreak/>
              <w:t>налогу на имущество организаций и земельному налогу (в регионах, в которых установлены авансовые платежи) за первый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lastRenderedPageBreak/>
              <w:t>до 30 июля 2020 года;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второй квартал 2020 года 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октября 2020 года.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НДФЛ за 2019 год в соответствии с п.6 ст.227 Кодекса (для ИП).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834AB" w:rsidRPr="003B7067" w:rsidTr="00D23AD1">
        <w:tc>
          <w:tcPr>
            <w:tcW w:w="1844" w:type="dxa"/>
            <w:vMerge w:val="restart"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Продление срока предоставления отчетности</w:t>
            </w:r>
          </w:p>
        </w:tc>
        <w:tc>
          <w:tcPr>
            <w:tcW w:w="4661" w:type="dxa"/>
          </w:tcPr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представления: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1) всех деклараций (расчетов по авансовым платежам), кроме НДС, бухгалтерской отчетности, срок сдачи которых приходится на март-май 2020 года;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2) представления организациями финансового рынка (ОФР) в налоговые органы финансовой информации (отчётности о клиентах – иностранных налоговых резидентах) за 2019 отчетный год и предыдущие отчетные годы;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3) заявлений о проведении налогового мониторинга за 2021 год.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организаций и ИП</w:t>
            </w:r>
          </w:p>
        </w:tc>
      </w:tr>
      <w:tr w:rsidR="00C834AB" w:rsidRPr="003B7067" w:rsidTr="00D23AD1">
        <w:tc>
          <w:tcPr>
            <w:tcW w:w="1844" w:type="dxa"/>
            <w:vMerge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C834AB" w:rsidRPr="003B7067" w:rsidRDefault="00C834AB" w:rsidP="00D23AD1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 документов, пояснений по требованиям, полученным в срок с 1 марта до 1 июня 2020 года;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на 20 рабочих дней</w:t>
            </w:r>
          </w:p>
        </w:tc>
        <w:tc>
          <w:tcPr>
            <w:tcW w:w="2189" w:type="dxa"/>
            <w:vMerge w:val="restart"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налогоплательщиков</w:t>
            </w:r>
          </w:p>
        </w:tc>
      </w:tr>
      <w:tr w:rsidR="00C834AB" w:rsidRPr="003B7067" w:rsidTr="00D23AD1">
        <w:tc>
          <w:tcPr>
            <w:tcW w:w="1844" w:type="dxa"/>
            <w:vMerge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C834AB" w:rsidRPr="003B7067" w:rsidRDefault="00C834AB" w:rsidP="00D23AD1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 документов, пояснений по требованиям по НДС, полученным в срок с 1 марта до 1 июня 2020 года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на 10 рабочих дней</w:t>
            </w:r>
          </w:p>
        </w:tc>
        <w:tc>
          <w:tcPr>
            <w:tcW w:w="2189" w:type="dxa"/>
            <w:vMerge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</w:tr>
      <w:tr w:rsidR="00D23AD1" w:rsidRPr="003B7067" w:rsidTr="00D23AD1">
        <w:tc>
          <w:tcPr>
            <w:tcW w:w="1844" w:type="dxa"/>
            <w:vMerge w:val="restart"/>
          </w:tcPr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Запрет на проверки, взыскания и </w:t>
            </w:r>
            <w:proofErr w:type="gramStart"/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санкции со стороны ФНС</w:t>
            </w:r>
            <w:proofErr w:type="gramEnd"/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 и других органов КНД</w:t>
            </w:r>
          </w:p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Блокировка</w:t>
            </w:r>
          </w:p>
        </w:tc>
        <w:tc>
          <w:tcPr>
            <w:tcW w:w="4661" w:type="dxa"/>
          </w:tcPr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приостановление: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1) вынесения решений о проведении выездных (повторных выездных) налоговых проверок, проверок полноты исчисления и уплаты налогов в связи с совершением сделок между взаимозависимыми лицами,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2) проведения уже назначенных выездных (повторных выездных) налоговых проверок,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3) проведения проверок соблюдения валютного законодательства, за исключением случаев, когда по уже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начатым проверкам выявлены нарушения, срок давности привлечения к административной ответственности за которые истекает до 01.06.2020 (в таких случаях допускается проведение проверок и осуществление административного производства только в части таких нарушений);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4) сроков: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составления и вручения актов налоговых проверок, актов о нарушениях законодательства о налогах и сборах,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представления возражений на указанные акты,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рассмотрения налоговым органом таких актов и возражений</w:t>
            </w:r>
          </w:p>
        </w:tc>
        <w:tc>
          <w:tcPr>
            <w:tcW w:w="1643" w:type="dxa"/>
            <w:vMerge w:val="restart"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до 1 июня 2020 года</w:t>
            </w:r>
          </w:p>
        </w:tc>
        <w:tc>
          <w:tcPr>
            <w:tcW w:w="2189" w:type="dxa"/>
            <w:vMerge w:val="restart"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налогоплательщиков (налоговых агентов, плательщиков страховых взносов, плательщиков сборов)</w:t>
            </w:r>
          </w:p>
        </w:tc>
      </w:tr>
      <w:tr w:rsidR="00D23AD1" w:rsidRPr="003B7067" w:rsidTr="00D23AD1">
        <w:tc>
          <w:tcPr>
            <w:tcW w:w="1844" w:type="dxa"/>
            <w:vMerge/>
          </w:tcPr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D23AD1" w:rsidRPr="003B7067" w:rsidRDefault="00D23AD1" w:rsidP="00D23AD1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приостановление:</w:t>
            </w:r>
          </w:p>
          <w:p w:rsidR="00D23AD1" w:rsidRPr="003B7067" w:rsidRDefault="00D23AD1" w:rsidP="00D23AD1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- блокировки счетов в связи с непредставлением декларации (расчетов по страховым взносам), не направлением квитанции о приеме документов, необеспечением приема документов по ТКС;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- запрета на открытие счетов в банках при наличии решения о приостановлении операций по счетам налогоплательщика-организации и переводов его электронных денежных средств, а также запрета на списание денежных средств с таких счетов для медицинских организаций, осуществляющих расходные операции в целях покупки медицинских изделий или лекарственных средств;</w:t>
            </w:r>
          </w:p>
        </w:tc>
        <w:tc>
          <w:tcPr>
            <w:tcW w:w="1643" w:type="dxa"/>
            <w:vMerge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89" w:type="dxa"/>
            <w:vMerge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</w:tr>
      <w:tr w:rsidR="0056658B" w:rsidRPr="003B7067" w:rsidTr="00D23AD1">
        <w:tc>
          <w:tcPr>
            <w:tcW w:w="1844" w:type="dxa"/>
            <w:vMerge w:val="restart"/>
          </w:tcPr>
          <w:p w:rsidR="0056658B" w:rsidRPr="003B7067" w:rsidRDefault="0056658B" w:rsidP="0056658B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Мораторий на налоговые санкции</w:t>
            </w:r>
          </w:p>
        </w:tc>
        <w:tc>
          <w:tcPr>
            <w:tcW w:w="4661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Мораторий на применение налоговых санкций за непредставление документов, срок представления которых приходится на период с 1 марта 2020 года по 1 июня 2020 года.</w:t>
            </w:r>
          </w:p>
        </w:tc>
        <w:tc>
          <w:tcPr>
            <w:tcW w:w="1643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по 1 июня 2020 года</w:t>
            </w:r>
          </w:p>
        </w:tc>
        <w:tc>
          <w:tcPr>
            <w:tcW w:w="2189" w:type="dxa"/>
          </w:tcPr>
          <w:p w:rsidR="0056658B" w:rsidRPr="003B7067" w:rsidRDefault="0056658B" w:rsidP="0056658B">
            <w:pPr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всех налогоплательщиков </w:t>
            </w:r>
          </w:p>
        </w:tc>
      </w:tr>
      <w:tr w:rsidR="0056658B" w:rsidRPr="003B7067" w:rsidTr="00D23AD1">
        <w:tc>
          <w:tcPr>
            <w:tcW w:w="1844" w:type="dxa"/>
            <w:vMerge/>
          </w:tcPr>
          <w:p w:rsidR="0056658B" w:rsidRPr="003B7067" w:rsidRDefault="0056658B" w:rsidP="0056658B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Продление предельного срока направления требований об уплате налогов, принятия решения о взыскании налогов.</w:t>
            </w:r>
          </w:p>
        </w:tc>
        <w:tc>
          <w:tcPr>
            <w:tcW w:w="1643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56658B" w:rsidRPr="003B7067" w:rsidRDefault="0056658B" w:rsidP="0056658B">
            <w:pPr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всех налогоплательщиков </w:t>
            </w:r>
          </w:p>
        </w:tc>
      </w:tr>
      <w:tr w:rsidR="00DF5332" w:rsidRPr="003B7067" w:rsidTr="00D23AD1">
        <w:tc>
          <w:tcPr>
            <w:tcW w:w="1844" w:type="dxa"/>
            <w:vMerge/>
          </w:tcPr>
          <w:p w:rsidR="00DF5332" w:rsidRPr="003B7067" w:rsidRDefault="00DF5332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DF5332" w:rsidRPr="003B7067" w:rsidRDefault="00DF5332" w:rsidP="00DF5332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не будут начисляться пени на сумму недоимки по налогам и страховым взносам, срок уплаты которых наступил в 2020 году.</w:t>
            </w:r>
          </w:p>
        </w:tc>
        <w:tc>
          <w:tcPr>
            <w:tcW w:w="1643" w:type="dxa"/>
          </w:tcPr>
          <w:p w:rsidR="00DF5332" w:rsidRPr="003B7067" w:rsidRDefault="00DF5332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период с 1 марта 2020 года по 1 июня 2020 года</w:t>
            </w:r>
          </w:p>
        </w:tc>
        <w:tc>
          <w:tcPr>
            <w:tcW w:w="2189" w:type="dxa"/>
          </w:tcPr>
          <w:p w:rsidR="00DF5332" w:rsidRPr="003B7067" w:rsidRDefault="00DF5332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организаций и ИП, относящихся к пострадавшим отраслям</w:t>
            </w:r>
          </w:p>
        </w:tc>
      </w:tr>
      <w:tr w:rsidR="005D15B9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Снижение тарифов по страховым взносам </w:t>
            </w:r>
          </w:p>
          <w:p w:rsidR="005D15B9" w:rsidRPr="003B7067" w:rsidRDefault="005D15B9" w:rsidP="005D15B9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5D15B9" w:rsidRPr="003B7067" w:rsidRDefault="005D15B9" w:rsidP="005D15B9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предпринимателей, выплачивающих заработную плату, будет снижен тариф по страховым взносам с 30% до 15%. Пониженный тариф будет распространяться не на всю заработную плату работников, а только на ту часть, которая превышает МРОТ.</w:t>
            </w:r>
          </w:p>
        </w:tc>
        <w:tc>
          <w:tcPr>
            <w:tcW w:w="1643" w:type="dxa"/>
          </w:tcPr>
          <w:p w:rsidR="005D15B9" w:rsidRPr="003B7067" w:rsidRDefault="005D15B9" w:rsidP="005D15B9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89" w:type="dxa"/>
          </w:tcPr>
          <w:p w:rsidR="005D15B9" w:rsidRPr="003B7067" w:rsidRDefault="0056658B" w:rsidP="005D15B9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Мораторий на рост взносов ИП </w:t>
            </w:r>
          </w:p>
        </w:tc>
        <w:tc>
          <w:tcPr>
            <w:tcW w:w="4661" w:type="dxa"/>
          </w:tcPr>
          <w:p w:rsidR="005D15B9" w:rsidRPr="003B7067" w:rsidRDefault="005D15B9" w:rsidP="005D15B9">
            <w:pPr>
              <w:jc w:val="both"/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Правительство Российской Федерации распорядилось остановить рост взносов ИП. Это значит, что с 2021 года взносы не вырастут.</w:t>
            </w:r>
          </w:p>
        </w:tc>
        <w:tc>
          <w:tcPr>
            <w:tcW w:w="1643" w:type="dxa"/>
          </w:tcPr>
          <w:p w:rsidR="005D15B9" w:rsidRPr="003B7067" w:rsidRDefault="0056658B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до конца 2020 г.</w:t>
            </w:r>
          </w:p>
        </w:tc>
        <w:tc>
          <w:tcPr>
            <w:tcW w:w="2189" w:type="dxa"/>
          </w:tcPr>
          <w:p w:rsidR="005D15B9" w:rsidRPr="003B7067" w:rsidRDefault="0056658B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ИП</w:t>
            </w:r>
          </w:p>
        </w:tc>
      </w:tr>
      <w:tr w:rsidR="00D6776C" w:rsidRPr="003B7067" w:rsidTr="00D23AD1">
        <w:tc>
          <w:tcPr>
            <w:tcW w:w="1844" w:type="dxa"/>
          </w:tcPr>
          <w:p w:rsidR="00D6776C" w:rsidRPr="003B7067" w:rsidRDefault="007D48BB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Б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еспроцентны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е 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кредит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ы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 на выплату зарплат</w:t>
            </w:r>
          </w:p>
        </w:tc>
        <w:tc>
          <w:tcPr>
            <w:tcW w:w="4661" w:type="dxa"/>
          </w:tcPr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Беспроцентный заём на неотложные нужды (в первую очередь на выплату заработной платы сотрудникам).</w:t>
            </w:r>
          </w:p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Условия для получения кредита: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Заёмные средства будут предоставляться компаниям, которые действуют не менее 1 года, и владельцы которых хотя бы раз платили налоги;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– сохранение численности персонала на весь период кредитования или сокращение персонала не более чем на 10% в месяц;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Гарантия по кредиту обеспечивается поручительством ВЭБ (до 75%).</w:t>
            </w:r>
          </w:p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Параметры кредита: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Кредит будет предоставляться на срок не более 6 месяцев. 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Максимальная величина заёмных средств будет высчитываться по формуле: количество сотрудников (на основании трудовых договоров) х МРОТ х на 6 мес. 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Ставка для заёмщика – 0%.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первом этапе в программе будут участвовать топ-10 крупнейших банков. В случае спроса на кредитный продукт, список кредитных организаций будет расширен.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3" w:type="dxa"/>
          </w:tcPr>
          <w:p w:rsidR="00D6776C" w:rsidRPr="003B7067" w:rsidRDefault="00D6776C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бессрочно</w:t>
            </w:r>
          </w:p>
        </w:tc>
        <w:tc>
          <w:tcPr>
            <w:tcW w:w="2189" w:type="dxa"/>
          </w:tcPr>
          <w:p w:rsidR="00D6776C" w:rsidRPr="003B7067" w:rsidRDefault="00D6776C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D6776C" w:rsidRPr="003B7067" w:rsidTr="00D23AD1">
        <w:tc>
          <w:tcPr>
            <w:tcW w:w="1844" w:type="dxa"/>
          </w:tcPr>
          <w:p w:rsidR="00D6776C" w:rsidRPr="003B7067" w:rsidRDefault="008B33EE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Расширена программа льготного кредитования малого и среднего бизнеса</w:t>
            </w:r>
          </w:p>
        </w:tc>
        <w:tc>
          <w:tcPr>
            <w:tcW w:w="4661" w:type="dxa"/>
          </w:tcPr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В программе участвуют 99 банков, которые выдают предпринимателям кредиты по сниженной ставке до 8,5%.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Упрощены требования к заёмщику, из обязательных условий исключены пункты: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задолженности по налогам, сборам;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задолженности по заработной плате;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отсутствие просроченных на срок свыше 30 дней платежей по кредитным договорам.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Отменены требования по максимальному суммарному объёму кредитных соглашений на рефинансирование в рамках программы (которое установлено в размере не более 20% от общей суммы кредитов).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Появилась возможность рефинансировать кредитные соглашения на оборотные цели (ранее это было доступно только для инвестиционных кредитов).</w:t>
            </w:r>
          </w:p>
          <w:p w:rsidR="00D6776C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Получать кредиты по льготной ставке теперь смогут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в сфере торговли, занимающиеся реализацией подакцизных товаров (для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микропредприятий</w:t>
            </w:r>
            <w:proofErr w:type="spellEnd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, заключивших кредитные соглашения на оборотные цели в 2020 году на срок не более 2 лет). </w:t>
            </w:r>
          </w:p>
        </w:tc>
        <w:tc>
          <w:tcPr>
            <w:tcW w:w="1643" w:type="dxa"/>
          </w:tcPr>
          <w:p w:rsidR="00D6776C" w:rsidRPr="003B7067" w:rsidRDefault="008B33EE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бессрочно</w:t>
            </w:r>
          </w:p>
        </w:tc>
        <w:tc>
          <w:tcPr>
            <w:tcW w:w="2189" w:type="dxa"/>
          </w:tcPr>
          <w:p w:rsidR="00D6776C" w:rsidRPr="003B7067" w:rsidRDefault="008B33EE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взносам </w:t>
            </w:r>
          </w:p>
          <w:p w:rsidR="005D15B9" w:rsidRPr="003B7067" w:rsidRDefault="005D15B9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5D15B9" w:rsidRPr="003B7067" w:rsidRDefault="005D15B9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отсрочк</w:t>
            </w:r>
            <w:r w:rsidR="00B50037" w:rsidRPr="003B7067">
              <w:rPr>
                <w:color w:val="2B2B2B"/>
                <w:sz w:val="24"/>
                <w:szCs w:val="24"/>
                <w:shd w:val="clear" w:color="auto" w:fill="FFFFFF"/>
              </w:rPr>
              <w:t>а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по страховым взносам. В период пандемии страховое обеспечение с зарплат работников можно не платить. </w:t>
            </w:r>
          </w:p>
        </w:tc>
        <w:tc>
          <w:tcPr>
            <w:tcW w:w="1643" w:type="dxa"/>
          </w:tcPr>
          <w:p w:rsidR="005D15B9" w:rsidRPr="003B7067" w:rsidRDefault="00B50037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5D15B9" w:rsidRPr="003B7067" w:rsidRDefault="00B50037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кредиту </w:t>
            </w:r>
          </w:p>
        </w:tc>
        <w:tc>
          <w:tcPr>
            <w:tcW w:w="4661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Имеющиеся задолженности по кредитным капиталам можно реструктуризировать. Процедура проводится по инициативе заемщика. Требуется обратиться в банк с заявлением.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Спецпрограмма</w:t>
            </w:r>
            <w:proofErr w:type="spellEnd"/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 стимулирования</w:t>
            </w:r>
          </w:p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 xml:space="preserve">В отношении предпринимателей-заемщиков будет действовать специальная программа рефинансирования кредитных капиталов. Кредит по программе рефинансирования выдается с установлением процентной ставки ЦБ РФ в размере 4 % и с установлением конечной ставки по кредитам на уровне 8,5 %. 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89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аренде </w:t>
            </w:r>
          </w:p>
        </w:tc>
        <w:tc>
          <w:tcPr>
            <w:tcW w:w="4661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lang w:eastAsia="en-US"/>
              </w:rPr>
              <w:t>О</w:t>
            </w:r>
            <w:r w:rsidRPr="0058347D">
              <w:rPr>
                <w:rFonts w:eastAsia="Calibri"/>
                <w:lang w:eastAsia="en-US"/>
              </w:rPr>
              <w:t>тсрочк</w:t>
            </w:r>
            <w:r>
              <w:rPr>
                <w:rFonts w:eastAsia="Calibri"/>
                <w:lang w:eastAsia="en-US"/>
              </w:rPr>
              <w:t>а</w:t>
            </w:r>
            <w:r w:rsidRPr="0058347D">
              <w:rPr>
                <w:rFonts w:eastAsia="Calibri"/>
                <w:lang w:eastAsia="en-US"/>
              </w:rPr>
              <w:t xml:space="preserve"> платежей за арендуемые государственные и муниципальные помещения</w:t>
            </w:r>
            <w:r>
              <w:t xml:space="preserve">. </w:t>
            </w:r>
            <w:r w:rsidR="00B50037"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Дополнительное соглашение к договору аренды об отсрочке платежей должно быть заключено в течение трех рабочих дней с момента обращения заявителя. </w:t>
            </w:r>
          </w:p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Отсрочка не распространяется в отношении аренды коммерческой недвижимости.</w:t>
            </w:r>
          </w:p>
        </w:tc>
        <w:tc>
          <w:tcPr>
            <w:tcW w:w="1643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2E63A7">
              <w:rPr>
                <w:color w:val="2B2B2B"/>
                <w:sz w:val="24"/>
                <w:szCs w:val="24"/>
                <w:shd w:val="clear" w:color="auto" w:fill="FFFFFF"/>
              </w:rPr>
              <w:t>До конца 2020 г.</w:t>
            </w:r>
          </w:p>
        </w:tc>
        <w:tc>
          <w:tcPr>
            <w:tcW w:w="2189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Арендатор</w:t>
            </w:r>
            <w:r>
              <w:rPr>
                <w:color w:val="2B2B2B"/>
                <w:sz w:val="24"/>
                <w:szCs w:val="24"/>
                <w:shd w:val="clear" w:color="auto" w:fill="FFFFFF"/>
              </w:rPr>
              <w:t xml:space="preserve">ы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государственного и муниципального имущества</w:t>
            </w:r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>Кредитные каникулы</w:t>
            </w:r>
          </w:p>
        </w:tc>
        <w:tc>
          <w:tcPr>
            <w:tcW w:w="4661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индивидуальных предпринимателей, которые столкнулись с резким падением доходов из-за эпидемии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коронавируса</w:t>
            </w:r>
            <w:proofErr w:type="spellEnd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</w:t>
            </w:r>
            <w:r w:rsidRPr="003B7067">
              <w:rPr>
                <w:i/>
                <w:color w:val="2B2B2B"/>
                <w:sz w:val="24"/>
                <w:szCs w:val="24"/>
                <w:shd w:val="clear" w:color="auto" w:fill="FFFFFF"/>
              </w:rPr>
              <w:t>(ниже 30%)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предусмотрены кредитные каникулы (или уменьшение размера платежа) по кредитному договору (договорам займа) на срок до 6 месяцев. Условия предоставления данной льготы должно рассматриваться в индивидуальном порядке при обращении заявителя в банк.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ИП</w:t>
            </w:r>
          </w:p>
        </w:tc>
      </w:tr>
      <w:tr w:rsidR="003B7067" w:rsidRPr="003B7067" w:rsidTr="00B50037">
        <w:trPr>
          <w:trHeight w:val="962"/>
        </w:trPr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Снижение требований к обеспечению </w:t>
            </w:r>
            <w:proofErr w:type="spellStart"/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госконтрактов</w:t>
            </w:r>
            <w:proofErr w:type="spellEnd"/>
          </w:p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3B7067" w:rsidRPr="003B7067" w:rsidRDefault="003B7067" w:rsidP="003B7067">
            <w:pPr>
              <w:spacing w:line="257" w:lineRule="auto"/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Правительством России предлагается установить, что при осуществлении закупок в соответствии со статьей 30 Федерального закона заказчик не вправе устанавливать требование обеспечения исполнения контракта в извещении об осуществлении закупки и (или) в проекте контракта.</w:t>
            </w:r>
          </w:p>
          <w:p w:rsidR="00B50037" w:rsidRPr="003B7067" w:rsidRDefault="003B7067" w:rsidP="003B706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Кроме того, также предложено увеличить начальную (максимальную) цену контракта до 5 млн. рублей (в настоящее время 1 млн. рублей), при котором субъекты малого предпринимательства должны предоставлять обеспечение заявок участников закупок.</w:t>
            </w:r>
          </w:p>
        </w:tc>
        <w:tc>
          <w:tcPr>
            <w:tcW w:w="1643" w:type="dxa"/>
          </w:tcPr>
          <w:p w:rsidR="00B50037" w:rsidRPr="003B7067" w:rsidRDefault="003B706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t>до 31 декабря 2020 года</w:t>
            </w:r>
          </w:p>
        </w:tc>
        <w:tc>
          <w:tcPr>
            <w:tcW w:w="2189" w:type="dxa"/>
          </w:tcPr>
          <w:p w:rsidR="00B50037" w:rsidRPr="003B7067" w:rsidRDefault="003B706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</w:tbl>
    <w:p w:rsidR="009160E6" w:rsidRDefault="009160E6"/>
    <w:p w:rsidR="009160E6" w:rsidRPr="009160E6" w:rsidRDefault="009160E6" w:rsidP="009160E6">
      <w:r w:rsidRPr="009160E6">
        <w:rPr>
          <w:b/>
          <w:bCs/>
        </w:rPr>
        <w:t>Какие сферы признаны наиболее пострадавшими? 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авиаперевозки, аэропортовая деятельность, автоперевозки;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культура, организация досуга и развлечений;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физкультурно-оздоровительная деятельность и спорт;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туристических агентств и прочих организаций, предоставляющих услуги в сфере туризма;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гостиничный бизнес;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организаций дополнительного образования, негосударственных образовательных учреждений;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по организации конференций и выставок;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по предоставлению бытовых услуг населению (ремонт, стирка, химчистка, услуги парикмахерских и салонов красоты).</w:t>
      </w:r>
    </w:p>
    <w:p w:rsidR="009160E6" w:rsidRPr="009160E6" w:rsidRDefault="009160E6" w:rsidP="009160E6"/>
    <w:p w:rsidR="009160E6" w:rsidRPr="009160E6" w:rsidRDefault="009160E6" w:rsidP="009160E6">
      <w:r w:rsidRPr="009160E6">
        <w:t>Организации и индивидуальные предприниматели, занятые в этих сферах по основному виду деятельности согласно ОКВЭД (</w:t>
      </w:r>
      <w:proofErr w:type="spellStart"/>
      <w:r w:rsidRPr="009160E6">
        <w:t>https</w:t>
      </w:r>
      <w:proofErr w:type="spellEnd"/>
      <w:r w:rsidRPr="009160E6">
        <w:t>://www.nalog.ru/rn77/business-support-2020/9704514/), получат первоочередную адресную поддержку.</w:t>
      </w:r>
    </w:p>
    <w:p w:rsidR="009160E6" w:rsidRPr="009160E6" w:rsidRDefault="009160E6" w:rsidP="009160E6"/>
    <w:p w:rsidR="009160E6" w:rsidRDefault="009160E6"/>
    <w:sectPr w:rsidR="009160E6" w:rsidSect="00DB18D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70F4C"/>
    <w:multiLevelType w:val="multilevel"/>
    <w:tmpl w:val="21FC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B26709"/>
    <w:multiLevelType w:val="multilevel"/>
    <w:tmpl w:val="2022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453EC7"/>
    <w:multiLevelType w:val="multilevel"/>
    <w:tmpl w:val="364C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349"/>
    <w:rsid w:val="000B5349"/>
    <w:rsid w:val="001C200E"/>
    <w:rsid w:val="0028062B"/>
    <w:rsid w:val="002E63A7"/>
    <w:rsid w:val="0030438C"/>
    <w:rsid w:val="00366353"/>
    <w:rsid w:val="003B7067"/>
    <w:rsid w:val="003F00D6"/>
    <w:rsid w:val="0056658B"/>
    <w:rsid w:val="005D15B9"/>
    <w:rsid w:val="007D48BB"/>
    <w:rsid w:val="008B33EE"/>
    <w:rsid w:val="009160E6"/>
    <w:rsid w:val="00B36261"/>
    <w:rsid w:val="00B50037"/>
    <w:rsid w:val="00BB05BD"/>
    <w:rsid w:val="00C77719"/>
    <w:rsid w:val="00C834AB"/>
    <w:rsid w:val="00D23AD1"/>
    <w:rsid w:val="00D6776C"/>
    <w:rsid w:val="00DB18D4"/>
    <w:rsid w:val="00DF5332"/>
    <w:rsid w:val="00F6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1B7A56"/>
  <w15:chartTrackingRefBased/>
  <w15:docId w15:val="{E78ACC71-EEDE-CF42-8CC1-9C38CFFB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349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534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B53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1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1685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n89067414073@gmail.com</dc:creator>
  <cp:keywords/>
  <dc:description/>
  <cp:lastModifiedBy>n89067414073@gmail.com</cp:lastModifiedBy>
  <cp:revision>15</cp:revision>
  <dcterms:created xsi:type="dcterms:W3CDTF">2020-03-31T13:05:00Z</dcterms:created>
  <dcterms:modified xsi:type="dcterms:W3CDTF">2020-03-31T14:32:00Z</dcterms:modified>
</cp:coreProperties>
</file>