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/>
      <w:tblGrid>
        <w:gridCol w:w="5390"/>
        <w:gridCol w:w="4816"/>
      </w:tblGrid>
      <w:tr>
        <w:trPr>
          <w:trHeight w:val="325" w:hRule="auto"/>
          <w:jc w:val="center"/>
        </w:trPr>
        <w:tc>
          <w:tcPr>
            <w:tcW w:w="53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</w:p>
          <w:tbl>
            <w:tblPr>
              <w:tblInd w:w="4" w:type="dxa"/>
            </w:tblPr>
            <w:tblGrid>
              <w:gridCol w:w="5714"/>
              <w:gridCol w:w="2820"/>
              <w:gridCol w:w="5055"/>
              <w:gridCol w:w="337"/>
            </w:tblGrid>
            <w:tr>
              <w:trPr>
                <w:trHeight w:val="4104" w:hRule="auto"/>
                <w:jc w:val="center"/>
              </w:trPr>
              <w:tc>
                <w:tcPr>
                  <w:tcW w:w="5714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object w:dxaOrig="619" w:dyaOrig="878">
                      <v:rect xmlns:o="urn:schemas-microsoft-com:office:office" xmlns:v="urn:schemas-microsoft-com:vml" id="rectole0000000000" style="width:30.950000pt;height:43.900000pt" o:preferrelative="t" o:ole="">
                        <o:lock v:ext="edit"/>
                        <v:imagedata xmlns:r="http://schemas.openxmlformats.org/officeDocument/2006/relationships" r:id="docRId1" o:title=""/>
                      </v:rect>
      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      </w:objec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МЧС РОССИИ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0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ГЛАВНОЕ УПРАВЛЕНИЕ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МИНИСТЕРСТВА РОССИЙСКОЙ ФЕДЕРАЦИИ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ПО ДЕЛАМ ГРАЖДАНСКОЙ ОБОРОНЫ,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ЧРЕЗВЫЧАЙНЫМ СИТУАЦИЯМ И ЛИКВИДАЦИИ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ПОСЛЕДСТВИЙ СТИХИЙНЫХ БЕДСТВИЙ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ПО РЕСПУБЛИКЕ МОРДОВИЯ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(</w:t>
                  </w: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Главное управление МЧС России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по Республике Мордовия)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b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ул. Косарева, 40, г. Саранск, 430031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Телефон: 28-86-00 Факс: 28-86-29 (код 834-2)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  <w:t xml:space="preserve">E-mail: mchs@e-mordovia.ru</w:t>
                  </w: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18"/>
                      <w:shd w:fill="auto" w:val="clear"/>
                    </w:rPr>
                  </w:pPr>
                </w:p>
                <w:p>
                  <w:pPr>
                    <w:tabs>
                      <w:tab w:val="left" w:pos="804" w:leader="none"/>
                      <w:tab w:val="center" w:pos="2373" w:leader="none"/>
                    </w:tabs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2"/>
                      <w:u w:val="single"/>
                      <w:shd w:fill="auto" w:val="clear"/>
                    </w:rPr>
                    <w:t xml:space="preserve">09.04.2022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 </w:t>
                  </w:r>
                  <w:r>
                    <w:rPr>
                      <w:rFonts w:ascii="Segoe UI Symbol" w:hAnsi="Segoe UI Symbol" w:cs="Segoe UI Symbol" w:eastAsia="Segoe UI Symbol"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№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2"/>
                      <w:shd w:fill="auto" w:val="clear"/>
                    </w:rPr>
                    <w:t xml:space="preserve">б/н</w:t>
                  </w:r>
                </w:p>
              </w:tc>
              <w:tc>
                <w:tcPr>
                  <w:tcW w:w="7875" w:type="dxa"/>
                  <w:gridSpan w:val="2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</w:tr>
            <w:tr>
              <w:trPr>
                <w:trHeight w:val="463" w:hRule="auto"/>
                <w:jc w:val="center"/>
              </w:trPr>
              <w:tc>
                <w:tcPr>
                  <w:tcW w:w="8534" w:type="dxa"/>
                  <w:gridSpan w:val="2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tabs>
                      <w:tab w:val="left" w:pos="804" w:leader="none"/>
                      <w:tab w:val="left" w:pos="2175" w:leader="none"/>
                      <w:tab w:val="center" w:pos="2373" w:leader="none"/>
                    </w:tabs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92" w:type="dxa"/>
                  <w:gridSpan w:val="2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8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tbl>
            <w:tblPr/>
            <w:tblGrid>
              <w:gridCol w:w="1485"/>
            </w:tblGrid>
            <w:tr>
              <w:trPr>
                <w:trHeight w:val="10" w:hRule="auto"/>
                <w:jc w:val="center"/>
              </w:trPr>
              <w:tc>
                <w:tcPr>
                  <w:tcW w:w="148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tabs>
                      <w:tab w:val="center" w:pos="4677" w:leader="none"/>
                      <w:tab w:val="right" w:pos="9355" w:leader="none"/>
                    </w:tabs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  <w:t xml:space="preserve">Учетный номер</w:t>
                  </w:r>
                </w:p>
              </w:tc>
            </w:tr>
            <w:tr>
              <w:trPr>
                <w:trHeight w:val="7" w:hRule="auto"/>
                <w:jc w:val="center"/>
              </w:trPr>
              <w:tc>
                <w:tcPr>
                  <w:tcW w:w="148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tabs>
                      <w:tab w:val="center" w:pos="4677" w:leader="none"/>
                      <w:tab w:val="right" w:pos="9355" w:leader="none"/>
                    </w:tabs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6"/>
                      <w:shd w:fill="auto" w:val="clear"/>
                    </w:rPr>
                    <w:t xml:space="preserve">6.1.1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Руководителям территориальных органов федеральных органов исполнительной власти Республики Мордовия;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Руководителям органов исполнительной власти Республики Мордовия;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Главам муниципальных образований Республики Мордовия;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Руководителям организаций и предприятий, расположенных на территории Республики Мордовия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________________________________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6"/>
                <w:shd w:fill="auto" w:val="clear"/>
              </w:rPr>
              <w:t xml:space="preserve">согласно расчёту рассылки</w:t>
            </w:r>
          </w:p>
        </w:tc>
      </w:tr>
    </w:tbl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ОПЕРАТИВНЫЙ ЕЖЕДНЕВНЫЙ ПРОГНОЗ</w:t>
      </w:r>
    </w:p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возможных чрезвычайных ситуаций на территории</w:t>
      </w:r>
    </w:p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Республики Мордовия на 10.04.2022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 11.04.2022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г.</w:t>
      </w:r>
    </w:p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подготовлен на основании информации Мордовского ЦГМС - филиала ФГБУ</w:t>
      </w:r>
    </w:p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Верхне - Волжское УГМС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Министерства лесного, охотничьего хозяйства и природопользования Республики Мордовия, Управления Роспотребнадзора по</w:t>
      </w:r>
    </w:p>
    <w:p>
      <w:pPr>
        <w:suppressAutoHyphens w:val="true"/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Республике Мордовия, ФГБУ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Россельхозцентра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по Республике Мордовия).</w:t>
      </w:r>
    </w:p>
    <w:p>
      <w:pPr>
        <w:suppressAutoHyphens w:val="true"/>
        <w:spacing w:before="0" w:after="0" w:line="240"/>
        <w:ind w:right="-2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I.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Обстановка за прошедшие сутки.</w:t>
      </w:r>
    </w:p>
    <w:p>
      <w:pPr>
        <w:suppressAutoHyphens w:val="true"/>
        <w:spacing w:before="0" w:after="0" w:line="240"/>
        <w:ind w:right="-2" w:left="-142" w:firstLine="56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Чрезвычайные ситуации и происшествия.</w:t>
      </w:r>
    </w:p>
    <w:p>
      <w:pPr>
        <w:tabs>
          <w:tab w:val="left" w:pos="0" w:leader="none"/>
          <w:tab w:val="left" w:pos="6521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ЧС и происшествий природного, биолого-социального и техногенного характера не произошло.</w:t>
      </w:r>
    </w:p>
    <w:p>
      <w:pPr>
        <w:tabs>
          <w:tab w:val="left" w:pos="0" w:leader="none"/>
          <w:tab w:val="left" w:pos="6521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9078" w:leader="none"/>
        </w:tabs>
        <w:spacing w:before="0" w:after="0" w:line="240"/>
        <w:ind w:right="0" w:left="-142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Метеообстановка.</w:t>
      </w: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284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данным Мордовского ЦГМС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филиала ФГБУ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Верхне - Волжское УГМС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 прошедшие сутки максимальная температура воздуха достигала +13…+18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 Ночной минимум температуры воздуха составил +4…+6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 Осадков не наблюдалось. Высота снежного покрова уменьшилась на 3-7 см. В большинстве районов высота снежного покрова ликвидировалась</w:t>
      </w:r>
    </w:p>
    <w:p>
      <w:pPr>
        <w:tabs>
          <w:tab w:val="center" w:pos="4677" w:leader="none"/>
          <w:tab w:val="right" w:pos="9355" w:leader="none"/>
        </w:tabs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Обстановка на энергосистемах объектов ЖКХ.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работе систем газоснабжения, электроснабжения, водоснабжения и канализационных сетей инцидентов не возникало.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1.4.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Гидрологическая обстановка.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 реках Мордовии продолжается неравномерное развитие весеннего половодья. На всех реках, кроме рек Инсар у д. Языковка и Исса у с. Паево, наблюдается подъем уровней воды на 4-195см. На реках Инсар у г.Саранск и Штырма у с. Черная Промза наблюдается неблагоприятное гидрологическое явление- выход воды на пойму. Уровень на р. Инсар у г. Саранск достиг отметки 575 см (НГЯ 460 см), на р. Штырма у с. Черная Промза 224 см (НГЯ 200см). На реках Инсар у д. Языковка и Исса у с. Паево уровень воды понизился на10-27 см. На реках Инсар у г. Саранска, Явас у пгт. Явас, Вад у с. Авдалово, Штырма у с. Черная Промза, Алатырь у пгт. Тургенево чисто. На р. Сивинь у с. Сивинь продолжается затор льда выше поста.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 состоянию на 09.04.2022 на территории Республики Мордовия затоплены 6 низководных мостов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4-х муниципальных районах: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3402" w:leader="none"/>
        </w:tabs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Исса, н.п. Большая Поляна Кадошкинского муниципального района.</w:t>
      </w:r>
    </w:p>
    <w:p>
      <w:pPr>
        <w:tabs>
          <w:tab w:val="left" w:pos="3402" w:leader="none"/>
        </w:tabs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Вад, н.п. Киселевка Зубово-Полянского муниципального района.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Вад, н.п. Вадовские Селищи Зубово-Полянского муниципального района.</w:t>
      </w:r>
    </w:p>
    <w:p>
      <w:pPr>
        <w:tabs>
          <w:tab w:val="left" w:pos="3402" w:leader="none"/>
        </w:tabs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Мокша, н.п. Васильевка, Ковылкинского муниципального района.</w:t>
      </w:r>
    </w:p>
    <w:p>
      <w:pPr>
        <w:tabs>
          <w:tab w:val="left" w:pos="3402" w:leader="none"/>
        </w:tabs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Мокша, н.п. Красная Пресня, Ковылкинского муниципального района.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Низководный мост через р.  Мокша, н.п. Русское Маскино, Краснослободского муниципального района.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center" w:pos="4153" w:leader="none"/>
          <w:tab w:val="right" w:pos="8306" w:leader="none"/>
        </w:tabs>
        <w:suppressAutoHyphens w:val="true"/>
        <w:spacing w:before="0" w:after="0" w:line="240"/>
        <w:ind w:right="-2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1.5.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Биолого-социальная обстановка.</w:t>
      </w:r>
    </w:p>
    <w:p>
      <w:pPr>
        <w:suppressAutoHyphens w:val="true"/>
        <w:spacing w:before="0" w:after="0" w:line="240"/>
        <w:ind w:right="-2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 территории Республики Мордовия биолого-социальная обстановка в норме.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697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1.6.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Происшествия на водных объектах.</w:t>
      </w:r>
    </w:p>
    <w:p>
      <w:pPr>
        <w:spacing w:before="0" w:after="0" w:line="240"/>
        <w:ind w:right="-2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За прошедшие сутки на водных объектах Республики Мордовия происшествий не произошло. По сравнению с АППГ показатель числа происшествий не изменился (за АППГ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 0).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Погибших нет. По сравнению с АППГ показатель числа погибших не изменился (за АППГ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 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Спасенных нет. По сравнению с АППГ показатель числа спасенных не изменился (АППГ-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).</w:t>
      </w:r>
    </w:p>
    <w:p>
      <w:pPr>
        <w:spacing w:before="0" w:after="0" w:line="240"/>
        <w:ind w:right="-2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 начала года на водных объектах Республики Мордовии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происшествий не произошло. По сравнению с АППГ показатель числа происшествий не изменился (АППГ -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). Погибших нет. По сравнению с АППГ показатель числа погибших не изменился (за АППГ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Спасенных нет, по сравнению с АППГ показатель числа спасенных не изменился (АППГ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).</w:t>
      </w:r>
    </w:p>
    <w:p>
      <w:pPr>
        <w:spacing w:before="0" w:after="0" w:line="240"/>
        <w:ind w:right="-2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1.7.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РХБ обстановка.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Радиационная, химическая и бактериологическая обстановка на территории республики в норме. Уровень гамма-фона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мкЗв, что в пределах допустимого. Естественный радиационный фон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0,09-0,22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мкЗв/час. Общий уровень загрязнения воздуха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умеренный.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1.8.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Сейсмологическая обстановка.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Сейсмологическая обстановка в норме. За сутки сейсмологических событий не произошло.</w:t>
      </w:r>
    </w:p>
    <w:p>
      <w:pPr>
        <w:tabs>
          <w:tab w:val="left" w:pos="2667" w:leader="none"/>
        </w:tabs>
        <w:suppressAutoHyphens w:val="true"/>
        <w:spacing w:before="0" w:after="0" w:line="240"/>
        <w:ind w:right="-2" w:left="-284" w:firstLine="709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2667" w:leader="none"/>
        </w:tabs>
        <w:suppressAutoHyphens w:val="true"/>
        <w:spacing w:before="0" w:after="0" w:line="240"/>
        <w:ind w:right="-2" w:left="-284" w:firstLine="709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Оправдываемость прогноза за сутки.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Прогнозируемая обстановка по природным ЧС подтвердилась.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Прогнозируемая обстановка по ЧС связанным с авариями на объектах ЖКХ подтвердилась.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Прогнозируемая обстановка по биолого-социальным ЧС подтвердилась.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Прогнозируемая обстановка по техногенным ЧС подтвердилась.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прогнозируемому источнику возникновения техногенных происшествий: аварии на автодорогах, прогноз оправдался.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прогнозируемому источнику возникновения техногенных происшествий: пожары в жилом секторе, прогноз оправдался.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прогнозируемым случаям возникновения бешенства среди животных прогноз не оправдался.</w:t>
      </w:r>
    </w:p>
    <w:p>
      <w:pPr>
        <w:suppressAutoHyphens w:val="true"/>
        <w:spacing w:before="0" w:after="0" w:line="240"/>
        <w:ind w:right="0" w:left="-284" w:firstLine="69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прогнозированию происшествий на водных объектах прогноз не подтвердился.</w:t>
      </w:r>
    </w:p>
    <w:p>
      <w:pPr>
        <w:suppressAutoHyphens w:val="true"/>
        <w:spacing w:before="0" w:after="0" w:line="240"/>
        <w:ind w:right="-2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8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III.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Прогноз ЧС.</w:t>
      </w:r>
    </w:p>
    <w:p>
      <w:pPr>
        <w:suppressAutoHyphens w:val="true"/>
        <w:spacing w:before="0" w:after="0" w:line="240"/>
        <w:ind w:right="-2" w:left="-28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возникновения ЧС природного характера.</w:t>
      </w:r>
    </w:p>
    <w:p>
      <w:pPr>
        <w:suppressAutoHyphens w:val="true"/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 территории республики вероятность возникновения природных чрезвычайных ситуаций не прогнозируется.</w:t>
      </w:r>
    </w:p>
    <w:p>
      <w:pPr>
        <w:tabs>
          <w:tab w:val="left" w:pos="855" w:leader="none"/>
        </w:tabs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3.1.1.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Опасные метеорологические явления.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прогнозируются.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3.1.2.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Неблагоприятные метеорологические явления.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прогнозируются.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Неблагоприятные и опасные природные агрометеорологические явления.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прогнозируется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3.1.4.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Метеорологическая обстановка.</w:t>
      </w:r>
    </w:p>
    <w:p>
      <w:pPr>
        <w:suppressAutoHyphens w:val="true"/>
        <w:spacing w:before="0" w:after="24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По данным Мордовского ЦГМС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филиала ФГБУ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Верхне - Волжское УГМС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на территории республики прогнозируется:</w:t>
      </w:r>
    </w:p>
    <w:p>
      <w:pPr>
        <w:tabs>
          <w:tab w:val="left" w:pos="788" w:leader="none"/>
          <w:tab w:val="center" w:pos="5457" w:leader="none"/>
          <w:tab w:val="left" w:pos="7020" w:leader="none"/>
          <w:tab w:val="left" w:pos="9923" w:leader="none"/>
        </w:tabs>
        <w:spacing w:before="0" w:after="0" w:line="240"/>
        <w:ind w:right="282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переменная облачность, преимущественно без осадков, в утренние часы местами слабый туман.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Ветер южный 5-10 м/с. Температура воздуха ночью +3…+8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С, днем +13…+18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 Видимость в тумане 500-1000 метров. </w:t>
      </w:r>
    </w:p>
    <w:p>
      <w:pPr>
        <w:tabs>
          <w:tab w:val="left" w:pos="788" w:leader="none"/>
          <w:tab w:val="center" w:pos="5457" w:leader="none"/>
          <w:tab w:val="left" w:pos="7020" w:leader="none"/>
          <w:tab w:val="left" w:pos="9923" w:leader="none"/>
        </w:tabs>
        <w:spacing w:before="0" w:after="0" w:line="240"/>
        <w:ind w:right="282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переменная облачность, преимущественно без осадков. Ветер южный                        5-10 м/с.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Температура воздуха ночью +4…+9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С, днем +14…+19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</w:t>
      </w:r>
    </w:p>
    <w:p>
      <w:pPr>
        <w:tabs>
          <w:tab w:val="left" w:pos="788" w:leader="none"/>
          <w:tab w:val="center" w:pos="5457" w:leader="none"/>
          <w:tab w:val="left" w:pos="7020" w:leader="none"/>
          <w:tab w:val="left" w:pos="9923" w:leader="none"/>
        </w:tabs>
        <w:spacing w:before="0" w:after="0" w:line="240"/>
        <w:ind w:right="282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апреля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переменная облачность, преимущественно без осадков. Ветер восточный                    5-10 м/с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Температура воздуха ночью +3…+8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С, днем +12…+17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</w:t>
      </w:r>
    </w:p>
    <w:p>
      <w:pPr>
        <w:tabs>
          <w:tab w:val="left" w:pos="788" w:leader="none"/>
          <w:tab w:val="center" w:pos="5457" w:leader="none"/>
          <w:tab w:val="left" w:pos="7020" w:leader="none"/>
        </w:tabs>
        <w:spacing w:before="0" w:after="0" w:line="240"/>
        <w:ind w:right="282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left" w:pos="4099" w:leader="none"/>
        </w:tabs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ОЯ: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прогнозируются;</w:t>
      </w:r>
    </w:p>
    <w:p>
      <w:pPr>
        <w:tabs>
          <w:tab w:val="left" w:pos="4099" w:leader="none"/>
        </w:tabs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НЯ: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прогнозируются.</w:t>
      </w:r>
    </w:p>
    <w:p>
      <w:pPr>
        <w:tabs>
          <w:tab w:val="left" w:pos="4099" w:leader="none"/>
        </w:tabs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708" w:leader="none"/>
          <w:tab w:val="center" w:pos="4153" w:leader="none"/>
          <w:tab w:val="left" w:pos="7200" w:leader="none"/>
          <w:tab w:val="right" w:pos="8306" w:leader="none"/>
        </w:tabs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3.1.5.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гидрологической обстановки.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 реках Мордовии идет неравномерное развитие весеннего половодья.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В связи с положительными температурами, осадками в виде дождя, активным снеготаянием и как следствие подъемом уровня воды прогнозируется подтопление 7-ми низководных мостов в 7-ми муниципальных районах: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Явас в районе н.п Кишалы Атюрьевского района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имеется, р. Явас неконтролируемая.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93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83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зону затопления попадает 1 низководный мост. н.п Кишалы: на время подтопления моста будет ограничена автомобильная переправа ул. Верхняя н.п. Кишалы: 35 жилых домов, 1 - СЗО (общеобразовательная школа), население составляет 53 человека (из них 3 детей), пенсионного возраста 32. Имеется функционирующий пешеходный мост, который в зону возможного подтопления не попадает. Движение для легкого транспорта по мосту будет ограничено. Объездной путь с. Стрельникова и д. Пичеполонги.  Протяженностью 3 км.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ФАП н.п. Кишалы.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населенном пункте имеется ДПК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Кишалинское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».</w:t>
      </w:r>
    </w:p>
    <w:p>
      <w:pPr>
        <w:spacing w:before="0" w:after="0" w:line="240"/>
        <w:ind w:right="0" w:left="-142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Сивинь в районе н.п. Новая Карьга Краснослободского района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имеется, р. Сивинь неконтролируемая.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46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16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30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Затопление данного моста влияет на жизнеобеспечение. В случае подтопления, объездной путь не предусмотрен, останутся без подъездных путей д.Песочная Лосевка (6 домов, 8 человек) и д. Заречная Лосевка (8 домов, 12 человек). Пешеходное сообщение не нарушено, осуществляется по пешеходному мосту, расположенному в непосредственной близости от подтопленного низководного моста.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ФАП н.п. Новая Карьга.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3-х человек (проживающих на территории указанных населенных пунктах) с приспособленной техникой АЦ -131.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Сеитьма в районе н.п. Старое Дракино Ковылкинского района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отсутствует, р. Сеитьма неконтролируемая.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65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случае подтопления будет ограничено движение по мосту. Объездной путь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н.п. Старое Дракино. Объездной путь г. Ковылкино - н.п. Наровчат Пензенской обл. - н.п. Старое Дракино. Протяженностью 45 км.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ФАП н.п. Старое Дракино.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ПСЧ-17 (28 км, по объездному пути 45 км).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Шишкеевка в районе н.п. Подверниха Старошайговского района: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отсутствует, р. Шишкеевка неконтролируемая.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143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103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+10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40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н.п. Подверниха, ул. Заречная: домов - 5, население - 10 чел., в т.ч. детей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трудоспособного 4 чел., пенсионного возраста 6, инвалидов по здоровью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беременных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нуждающихся в госпитализации нет.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случае подтопления будет ограничено движение по мосту. Объездной путь через н.п. Ровный по грунтовой дороге расстояние 3 км до н.п. Подверниха.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ФАП н.п. н.п. Новое Акшино.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ПЧ-22.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Салминка в районе н.п. Малая Чуфаровка Ромодановского района: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отсутствует, р. Салминка неконтролируемая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225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180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45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н.п. Малая Чуфаровка: домов- 52 (из них с постоянным проживанием -30 домов, а остальные 22 дачные), население- 40 чел., детей нет, трудоспособного 15 чел., пенсионного возраста 20, инвалидов по здоровью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беременных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неработающий (проживает с родителями)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нуждающихся в госпи-тализации нет.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Медицинское обеспечение: ФАП н.п. Анненково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ПСЧ-20 (5 км.)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6)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Мокша в районе н.п. Пурдошки Темниковского района: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имеется, р. Мокша неконтролируемая.</w:t>
      </w:r>
    </w:p>
    <w:p>
      <w:pPr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Уровень начала затопления дорожного полотна моста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220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200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+25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20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н.п. Пурдошки: 132 дома, в том числе 84 дачных дома; население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89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из них детей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пенсионеров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35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человек, беременных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нуждающихся в госпитализации нет. СЗО на подтапливаемой территории нет.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Пурдошанская амбулатория с дневным стационаром в н.п. Пурдошки (с 09.00 до 15.00)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врач Акбулатова А.А., находится на не подтапливаемой территории. Объездной путь через с. Аксел до незатопляемой территории: с. Жегалово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г. Темников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 Аксел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 Пурдошки: 45 км.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ПСЧ-23 (29 км.)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7)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Низководный мост через р. Вьяс в районе н.п. Новые Турдаки Кочкуровского района: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Гидропост отсутствует.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Фактический уровень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 (динамика за сутки +0 см)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Запас воды до начала затопления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 10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см.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н.п. Новые Турдаки: 4 дома, население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из них детей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чел., пенсионеров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человека, беременных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нет, нуждающихся в госпитализации нет. СЗО на подтапливаемой территории нет.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Медицинское обеспечение: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ФАП н.п. Семилей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Противопожарное прикрытие: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ПСЧ-18 (22 км.)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Вопросы жизнеобеспечения населения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(противопожарное, продовольственное и медицинское обеспечение)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предусмотрены.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Объем сбросов воды с Сурского водохранилища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Пензенского гидроузла составляет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19,6 м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  <w:vertAlign w:val="superscript"/>
        </w:rPr>
        <w:t xml:space="preserve">3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/сек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, приток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238 м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  <w:vertAlign w:val="superscript"/>
        </w:rPr>
        <w:t xml:space="preserve">3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/сек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. Объемы притока и сброса воды на Сурском водохранилище на гидрологическую обстановку республики в настоящее время не влияют.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3.1.6.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сейсмологической обстановки.</w:t>
      </w: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Территория Республики Мордовия характеризуется низкой сейсмической опасностью. Возникновение землетрясений не прогнозируется.</w:t>
      </w: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возникновения ЧС техногенного характера.</w:t>
      </w: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3.2.1.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Аварии на автомобильном транспорте.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Возникновение техногенных ЧС, обусловленных авариями на автодорогах, в не прогнозируется.</w:t>
      </w:r>
    </w:p>
    <w:p>
      <w:pPr>
        <w:tabs>
          <w:tab w:val="left" w:pos="10206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Остается высокой вероятность возникновения дорожно-транспортных происшествий, причинами которых могут стать: выезд на полосу встречного движения, несоответствие скорости конкретным условиям движения, несоблюдение очередности проезда, нарушение правил расположения ТС на проезжей части, нарушение правил проезда пешеходного перехода, метеорологические явления.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Наибольшая вероятность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0,4-0,5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их возникновения существует в Зубово-Полянском, Рузаевском, Лямбирском, Ковылкинском, Чамзинском, Ардатовском, Ельниковском, Ромодановском, Краснослободском, Темниковском, Атяшевском муниципальных районах и на всех участках республиканской сети автодорог, замкнутых на г.о. Саранск, где наблюдается высокая интенсивность движения автотранспорта.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3.2.2.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Аварии на железнодорожном транспорте.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Вероятность возникновения в республике чрезвычайных ситуаций, связанных с авариями на железнодорожном транспорте маловероятна и не прогнозируется.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Существует вероятность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(0,1)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возникновения происшествий на железнодорожном транспорте. Причинами происшествий может стать несоблюдение водителями автотранспортных средств ПДД (выезд на железнодорожные переезды на запрещающий сигнал светофора), отсутствие автоматических шлагбаумов на железнодорожных переездах, ошибки диспетчеров и машинистов.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Наибольшая вероятность их возникновения существует в Рузаевском, Ичалковском, Ковылкинском, Зубово-Полянском, Кочкуровском, Ардатовском, Чамзинском, Торбеевском, Ромодановском муниципальных районах республики и г.о. Саранск.</w:t>
      </w: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Пожары.</w:t>
      </w:r>
    </w:p>
    <w:p>
      <w:pPr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Чрезвычайные ситуации, обусловленные пожарами в зданиях сельскохозяйственного, административного, учебно-воспитательного, социального, культурно-досугового назначения, предприятий торговли и здравоохранения не прогнозируются.</w:t>
      </w:r>
    </w:p>
    <w:p>
      <w:pPr>
        <w:suppressAutoHyphens w:val="true"/>
        <w:spacing w:before="0" w:after="0" w:line="240"/>
        <w:ind w:right="-2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Сохранится вероятность 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0,3-0,5)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возникновения техногенных пожаров, в том числе бытовых пожаров с гибелью 2-х человек и более.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Причинами пожаров, в т.ч. приводящих к гибели людей, могут стать неосторожное обращение с огнем, в т.ч. курение в нетрезвом виде, неисправность электрооборудования и печного отопления. Возникновение техногенных пожаров вероятно на всей территории республики. Наибольшей вероятности подвержены Б.Березниковский, Ковылкинский, Лямбирский, Рузаевский, Чамзинский, Теньгушевский, Зубово-Полянский, Ичалковский, Ромодановский муниципальные районы республики и г.о. Саранск.</w:t>
      </w:r>
    </w:p>
    <w:p>
      <w:pPr>
        <w:suppressAutoHyphens w:val="true"/>
        <w:spacing w:before="0" w:after="0" w:line="240"/>
        <w:ind w:right="-2" w:left="-284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3.2.4.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Аварии на объектах ЖКХ и коммунальной энергетики.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Чрезвычайные ситуации, обусловленные авариями на объектах ЖКХ и коммунальной энергетики не прогнозируются.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 вероятностью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0,1-0,2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возможно возникновение аварий на всех системах ЖКХ и объектах коммунальной энергетики.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Причинами таких аварийных ситуаций могут стать износ коммунальных сетей, обрывы линий электропередач (при очень сильном дожде, налипании мокрого снега), нарушение техники безопасности при проведении работ и неквалифицированные действия обслуживающего персонала.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Аварийные ситуации объектах ЖКХ и коммунальной энергетики прогнозируются на территории всей республики. Наибольшая вероятность их возникновения существует в г.о. Саранск, Лямбирском, Рузаевском, Ичалковском, Краснослободском, Темниковском, Ковылкинском и Чамзинском муниципальных районах.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3.2.5.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Происшествия на водных объектах.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Существует вероятность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возникновения происшествий с гибелью людей на водных объектах республики. Основными причинами происшествий могут стать несоблюдение мер безопасности на воде и состояние алкогольного опьянения людей.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Возникновение происшествий на воде возможно во всех районах республики. Наибольшая вероятность существует в Теньгушевском, Ковылкинском, Рузаевском, Краснослободском, Лямбирском муниципальных районах и г.о. Саранск.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Биолого-социальные ЧС.</w:t>
      </w:r>
    </w:p>
    <w:p>
      <w:pPr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Возникновение биолого-социальных чрезвычайных ситуаций, обусловленных ухудшением эпидемиологической, эпизоотической и фитосанитарной обстановки во всех муниципальных районах Республики Мордовия не прогнозируется.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3.3.1.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санитарно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эпидемиологической обстановки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Прогнозируется дальнейшее эпидемическое распространение новой коронавирусной инфекции COVID-19, начавшееся в мире с декабря 2019 года, случаи заболевания будут регистрироваться повсеместно во всех районах республики.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Также прогнозируется заболеваемость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гриппом и ОРВИ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Заболеваемость будет обусловлена преимущественной циркуляцией вирусов гриппа: A/Victoria/2570/2019(H1N1)pdm09;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A/Cambodia/e0826360/2020(H3N2)  -  В/Washington/02/2019, В/Phuket/3073/2013 (для четырехвалентной вакцины).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Заболеваемость с вероятностью 0,3-0,4 прогнозируется на территории всей республики, с наибольшей вероятностью в Атюрьевском, Атяшевском, Дубенском, Инскарском, Ковылкинском, Кочкуровском, Лямбирском, Рузаевском, Чамзинском муниципальных районах и г.о. Саранск.</w:t>
      </w:r>
    </w:p>
    <w:p>
      <w:pPr>
        <w:tabs>
          <w:tab w:val="left" w:pos="720" w:leader="none"/>
        </w:tabs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Возможны случаи заболеваний с фекально-оральным механизмом передачи -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острые кишечные инфекции (ОКИ)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, в том числе вирусной (рота-, норо-, аденовирусной) этиологии, вирусный гепатит А и пищевые токсикоинфекции, связанные с повышением уровня микробного загрязнения факторов внешней среды, в том числе воды и пищевых продуктов.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 одинаковой вероятностью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(0,2)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случаи ОКИ возможны на территории всей республики.</w:t>
      </w:r>
    </w:p>
    <w:p>
      <w:pPr>
        <w:tabs>
          <w:tab w:val="left" w:pos="10206" w:leader="none"/>
        </w:tabs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Также возможен рост заболеваемости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сальмонеллезом.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Случаи сальмонеллезной инфекции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 вероятностью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прогнозируются в г.о. Саранск, Рузаевском и Чамзинском районах республики. Основным фактором передачи заболеваний может стать несоблюдение правил личной гигиены, недоброкачественная питьевая вода централизованного водоснабжения, нарушение работниками питания санитарно-гигиенических норм и правил при приготовлении и хранении продуктов питания в местах с массовым пребыванием людей (школы, детские сады, дома отдыха).</w:t>
      </w:r>
    </w:p>
    <w:p>
      <w:pPr>
        <w:tabs>
          <w:tab w:val="left" w:pos="720" w:leader="none"/>
        </w:tabs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 вероятностью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0,1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возможны случаи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энтеровирусной инфекции (ЭВИ)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г.о. Саранск, Рузаевском, Лямбирском, Ромодановском, Ичалковском и Чамзинском муниципальных районах.</w:t>
      </w:r>
    </w:p>
    <w:p>
      <w:pPr>
        <w:tabs>
          <w:tab w:val="left" w:pos="10065" w:leader="none"/>
        </w:tabs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 территории республики прогнозируются случаи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туберкулеза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Наиболее высокая вероятность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(0,1)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заболеваемости туберкулезом возможна в г.о. Саранск,  Атюрьевском, Атяшевском, Дубенском, Инсарском, Кадошкинском, Старошайговском и Торбеевском муниципальных районах.</w:t>
      </w:r>
    </w:p>
    <w:p>
      <w:pPr>
        <w:spacing w:before="0" w:after="0" w:line="240"/>
        <w:ind w:right="-1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Заболеваемость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геморрагической лихорадкой с почечным синдромом (ГЛПС) прогнозируется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вероятностью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0,1-0,2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на территории всей республики, наиболее вероятно возникновение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г.о. Саранск, Большеберезниковском, Кочкуровском, Инсарском, Ковылкинском, Зубово-Полянском, Темниковском муниципальных районах республики, где имеются природные очаги ГЛПС.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3.3.2.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фитосанитарной обстановки.</w:t>
      </w:r>
    </w:p>
    <w:p>
      <w:pPr>
        <w:tabs>
          <w:tab w:val="left" w:pos="720" w:leader="none"/>
          <w:tab w:val="left" w:pos="10206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 данным филиала ФГБУ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Рослесозащита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»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ЦЗЛ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апреле на территории республики не прогнозируется дальнейшее распространение болезней лесных насаждений.</w:t>
      </w:r>
    </w:p>
    <w:p>
      <w:pPr>
        <w:tabs>
          <w:tab w:val="left" w:pos="720" w:leader="none"/>
          <w:tab w:val="left" w:pos="10206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 данным филиала ФГБУ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Россельхозцентр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 Республике Мордовия, в апреле не прогнозируется распространение особо опасных вредителей и болезней сельскохозяйственных культур.</w:t>
      </w:r>
    </w:p>
    <w:p>
      <w:pPr>
        <w:suppressAutoHyphens w:val="true"/>
        <w:spacing w:before="0" w:after="0" w:line="240"/>
        <w:ind w:right="-2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-2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3.3.3.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Прогноз эпизоотической обстановки.</w:t>
      </w:r>
    </w:p>
    <w:p>
      <w:pPr>
        <w:tabs>
          <w:tab w:val="left" w:pos="10065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 территории республики с вероятностью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0,1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прогнозируются случаи возникновения бешенства среди животных. 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Случаи заболеваемости бешенством животных возможны на территории всей республики, но наибольшему риску подвержены Большеберезниковский, Инсарский, Ичалковский, Краснослободский, Рузаевский муниципальные районы.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Возникновение напряженной эпизоотической ситуации на территории республики возможно, в основном, за счет увеличения популяций мелких млекопитающих и членистоногих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носителей и переносчиков возбудителей природно-очаговых болезней, диких плотоядных животных (лисиц) и домашних плотоядных животных (кошек, собак), в наименьшей степени за счет сельскохозяйственных животных (крупного и мелкого рогатого скота).</w:t>
      </w:r>
    </w:p>
    <w:p>
      <w:pPr>
        <w:tabs>
          <w:tab w:val="left" w:pos="10206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(кошек, собак), как основных распространителей болезни.</w:t>
      </w:r>
    </w:p>
    <w:p>
      <w:pPr>
        <w:tabs>
          <w:tab w:val="left" w:pos="10348" w:leader="none"/>
        </w:tabs>
        <w:suppressAutoHyphens w:val="true"/>
        <w:spacing w:before="288" w:after="0" w:line="240"/>
        <w:ind w:right="0" w:left="0" w:firstLine="426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10348" w:leader="none"/>
        </w:tabs>
        <w:suppressAutoHyphens w:val="true"/>
        <w:spacing w:before="288" w:after="0" w:line="240"/>
        <w:ind w:right="0" w:left="0" w:firstLine="426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Рекомендации по предупреждению чрезвычайных и аварийных ситуаций.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Территориальным органам федеральных органов исполнительной власти, органам исполнительной власти Республики Мордовия, органам местного самоуправления, руководителям ведомств и организаций рекомендовать: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обеспечить принятие (на основе прогнозируемой вероятности возникновения ЧС и данных мониторинга складывающейся обстановки) решений о реализации комплекса предупредительных мероприятий и определение состава сил и средств ТП РСЧС;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выполнить комплекс превентивных мероприятий и обеспечить готовность к реагированию на возможные ЧС (происшествия) в соответствии с прогнозом неблагоприятных метеорологических явлений с учетом имеющихся рисков, инициировать своевременное введение необходимых режимов функционирования органов управления и сил РСЧС, обратить особое внимание на оповещение и информирование населения, а также работу со СМИ;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организовать инструктирование и проверку готовности ЕДДС городского округа и муниципальных районов, ДДС предприятий жизнеобеспечения, потенциально опасных и критически важных объектов, аварийно-спасательных и ремонтно-восстановительных формирований, предназначенных для ликвидации возможных аварий и ЧС;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обеспечить контроль за готовностью сил и средств районных звеньев ТП РСЧС, привлекаемых к ликвидации возможных аварий и ЧС;</w:t>
      </w:r>
    </w:p>
    <w:p>
      <w:pPr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при реагировании на чрезвычайные ситуации уделять внимание на организацию межведомственного взаимодействия; 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восполнять при необходимости резервы материальных ресурсов, созданные для ликвидации ЧС.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предотвращения аварийных ситуаций на объектах систем жизнеобеспечения населения: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осуществлять контроль укомплектованности и готовности сил и средств по ликвидации последствий аварийных ситуаций на системах жизненного обеспечения.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Для предупреждения ДТП и автомобильных аварий: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производить постоянный мониторинг обстановки на автомобильных трассах федерального, регионального и местного значений;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обеспечить контроль готовности спасательных служб к реагированию на ДТП;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увеличить количество проверок наиболее опасных участков автодорог;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условиях возникновения неблагоприятных погодных явлений (осадки, ограниченная видимость) и увеличения объемов перевозок опасных грузов провести дополнительно инструктаж водителей;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пассажирским автотранспортным предприятиям обратить особое внимание на техническое состояние автотранспорта дальнего следования и качество топлива;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осуществлять контроль технического состояния транспорта, используемого для перевозки опасных грузов (АХОВ, нефтепродуктов);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повысить реагирование дорожных служб на прогнозы и предупреждения об ухудшении погодных условий;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 помощью СМИ проводить информирование участников дорожного движения о проблемных участках дорог.</w:t>
      </w:r>
    </w:p>
    <w:p>
      <w:pPr>
        <w:spacing w:before="0" w:after="6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обеспечить своевременное информирование участников дорожного движения о погодных условиях;</w:t>
      </w:r>
    </w:p>
    <w:p>
      <w:p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предотвращения возникновения бытовых пожаров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:</w:t>
      </w: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усилить контроль своевременного обследования и профилактического ремонта газового оборудования и сетей газо- и электроснабжения, противопожарного состояния жилых домов.</w:t>
      </w: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снижения риска гибели людей на водных объектах:</w:t>
      </w:r>
    </w:p>
    <w:p>
      <w:pPr>
        <w:tabs>
          <w:tab w:val="left" w:pos="16776649" w:leader="none"/>
        </w:tabs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вести разъяснительную работу с населением о соблюдении правил безопасности на воде.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предотвращения роста заболеваемости вирусом гриппа, ОРВИ и COVID-19:</w:t>
      </w:r>
    </w:p>
    <w:p>
      <w:pPr>
        <w:numPr>
          <w:ilvl w:val="0"/>
          <w:numId w:val="135"/>
        </w:numPr>
        <w:tabs>
          <w:tab w:val="left" w:pos="720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проводить своевременную вакцинацию населения;</w:t>
      </w:r>
    </w:p>
    <w:p>
      <w:pPr>
        <w:numPr>
          <w:ilvl w:val="0"/>
          <w:numId w:val="135"/>
        </w:numPr>
        <w:tabs>
          <w:tab w:val="left" w:pos="720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проводить разъяснительную работу среди населения через СМИ, печатную продукцию о методах и средствах профилактики простудных заболеваний и мерах по их предупреждению;</w:t>
      </w:r>
    </w:p>
    <w:p>
      <w:pPr>
        <w:numPr>
          <w:ilvl w:val="0"/>
          <w:numId w:val="135"/>
        </w:numPr>
        <w:tabs>
          <w:tab w:val="left" w:pos="0" w:leader="none"/>
          <w:tab w:val="left" w:pos="720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избегать близкого контакта с людьми, которые кажутся нездоровыми и имеют первые симптомы заболевания (дистанция от 1,5 до 2 метров);</w:t>
      </w:r>
    </w:p>
    <w:p>
      <w:pPr>
        <w:numPr>
          <w:ilvl w:val="0"/>
          <w:numId w:val="135"/>
        </w:numPr>
        <w:tabs>
          <w:tab w:val="left" w:pos="0" w:leader="none"/>
          <w:tab w:val="left" w:pos="720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своевременно обращаться за медицинской помощью в случае появления первых признаков заболевания гриппом и ОРВИ (высокая температура, кашель, боль в горле).</w:t>
      </w: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Правила профилактики новой коронавирусной инфекции (COVID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 19):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соблюдать режим самоизоляции и воздержаться от встреч с близкими и знакомыми людьми, поездок в другой регион, от посещений мест массового скопления людей;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общественных местах необходимо соблюдать дистанцию 1,5-2 метра;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мыть руки водой с мылом и обрабатывать кожными антисептиками после посещения мест массового скопления людей и перед приемом пищи;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дезинфицировать гаджеты, оргтехнику и поверхности, к которым прикасаетесь;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регулярно проветривать помещения и проводить влажную уборку с применением средств бытовой химии с моющим или моюще-дезинфицирующим эффектом;</w:t>
      </w:r>
    </w:p>
    <w:p>
      <w:pPr>
        <w:numPr>
          <w:ilvl w:val="0"/>
          <w:numId w:val="138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использовать средства защиты: медицинские маски (меняя каждые 2</w:t>
      </w:r>
      <w:r>
        <w:rPr>
          <w:rFonts w:ascii="Cambria Math" w:hAnsi="Cambria Math" w:cs="Cambria Math" w:eastAsia="Cambria Math"/>
          <w:color w:val="000000"/>
          <w:spacing w:val="0"/>
          <w:position w:val="0"/>
          <w:sz w:val="26"/>
          <w:shd w:fill="FFFFFF" w:val="clear"/>
        </w:rPr>
        <w:t xml:space="preserve">−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часа) и перчатки в общественных местах и транспорте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;</w:t>
      </w:r>
    </w:p>
    <w:p>
      <w:pPr>
        <w:numPr>
          <w:ilvl w:val="0"/>
          <w:numId w:val="138"/>
        </w:numPr>
        <w:spacing w:before="0" w:after="0" w:line="240"/>
        <w:ind w:right="0" w:left="-284" w:firstLine="568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при первых симптомах коронавируса (высокая температура тела, озноб, головная боль, слабость, заложенность носа, кашель, затрудненное дыхание, боль в мышцах, конъюнктивит)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обращаться за медицинской помощью по месту жительства (месту пребывания) без посещения медицинских организаций (вызов врача на дом), не допускать самолечения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снижения заболеваемости острыми кишечными инфекциями:</w:t>
      </w:r>
    </w:p>
    <w:p>
      <w:pPr>
        <w:numPr>
          <w:ilvl w:val="0"/>
          <w:numId w:val="141"/>
        </w:numPr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проводить санитарно-просветительную работу по профилактике ОКИ;</w:t>
      </w:r>
    </w:p>
    <w:p>
      <w:pPr>
        <w:numPr>
          <w:ilvl w:val="0"/>
          <w:numId w:val="141"/>
        </w:numPr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осуществляется контроль за санитарно-гигиеническим состоянием объектов торговли, общепита, рынков, условиями хранения и сроками реализации скоропортящихся продуктов, качеством реализуемой продукции на объектах торговли, пищеблоков школ, дошкольных организаций;</w:t>
      </w:r>
    </w:p>
    <w:p>
      <w:pPr>
        <w:numPr>
          <w:ilvl w:val="0"/>
          <w:numId w:val="141"/>
        </w:numPr>
        <w:spacing w:before="0" w:after="0" w:line="240"/>
        <w:ind w:right="0" w:left="-284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проводить профилактические прививки гражданам, посещающим страны тропического региона.</w:t>
      </w:r>
    </w:p>
    <w:p>
      <w:p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профилактики инфекционных и паразитарных заболеваний необходимо соблюдать меры предосторожности, чтобы не допустить заражения и последующего развития заболевания:</w:t>
      </w:r>
    </w:p>
    <w:p>
      <w:pPr>
        <w:numPr>
          <w:ilvl w:val="0"/>
          <w:numId w:val="143"/>
        </w:num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употреблять для еды только ту пищу, в качестве которой вы уверены;</w:t>
      </w:r>
    </w:p>
    <w:p>
      <w:pPr>
        <w:numPr>
          <w:ilvl w:val="0"/>
          <w:numId w:val="143"/>
        </w:num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употреблять для питья только гарантированно безопасную воду и напитки (питьевая вода и напитки в фабричной упаковке, кипяченая вода). Нельзя употреблять лед, приготовленный из сырой воды;</w:t>
      </w:r>
    </w:p>
    <w:p>
      <w:pPr>
        <w:numPr>
          <w:ilvl w:val="0"/>
          <w:numId w:val="143"/>
        </w:numPr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мясо, рыба, морепродукты должны обязательно подвергаться термической обработке;</w:t>
      </w:r>
    </w:p>
    <w:p>
      <w:pPr>
        <w:numPr>
          <w:ilvl w:val="0"/>
          <w:numId w:val="143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желательно не пользоваться услугами местных предприятий общественного питания и не пробовать незнакомые продукты, не покупать еду на рынках и лотках, не пробовать угощения, приготовленные местными жителями;</w:t>
      </w:r>
    </w:p>
    <w:p>
      <w:pPr>
        <w:numPr>
          <w:ilvl w:val="0"/>
          <w:numId w:val="143"/>
        </w:numPr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случае необходимости приобретать продукты в фабричной упаковке в специализированных магазинах;</w:t>
      </w:r>
    </w:p>
    <w:p>
      <w:pPr>
        <w:numPr>
          <w:ilvl w:val="0"/>
          <w:numId w:val="143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овощи и фрукты мыть безопасной водой и обдавать кипятком;</w:t>
      </w:r>
    </w:p>
    <w:p>
      <w:pPr>
        <w:numPr>
          <w:ilvl w:val="0"/>
          <w:numId w:val="143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перед едой следует всегда тщательно мыть руки с мылом.</w:t>
      </w:r>
    </w:p>
    <w:p>
      <w:pPr>
        <w:spacing w:before="0" w:after="0" w:line="240"/>
        <w:ind w:right="0" w:left="426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16776649" w:leader="none"/>
        </w:tabs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В целях снижения роста заболеваемости бешенством животных:</w:t>
      </w:r>
    </w:p>
    <w:p>
      <w:pPr>
        <w:numPr>
          <w:ilvl w:val="0"/>
          <w:numId w:val="148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проводить разъяснительную работу среди населения об опасности заболевания бешенством и мерах по его предупреждению;</w:t>
      </w:r>
    </w:p>
    <w:p>
      <w:pPr>
        <w:numPr>
          <w:ilvl w:val="0"/>
          <w:numId w:val="148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осуществлять ветеринарные мероприятия, в том числе по учету поголовья сельскохозяйственных животных и проведению профилактической вакцинации с/х и домашних животных против бешенства;</w:t>
      </w:r>
    </w:p>
    <w:p>
      <w:pPr>
        <w:numPr>
          <w:ilvl w:val="0"/>
          <w:numId w:val="148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соблюдать правила содержания крупного и мелкого рогатого скота в личных подворьях, домашних собак (регистрация, применение намордников, содержание на привязи и т. п.);</w:t>
      </w:r>
    </w:p>
    <w:p>
      <w:pPr>
        <w:numPr>
          <w:ilvl w:val="0"/>
          <w:numId w:val="148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принимать меры к сокращению численности диких носителей (регулирование плотности диких животных, отлов бездомных собак и кошек, отстрел лисиц охотничьим методом, вакцинация против бешенства в дикой природе);</w:t>
      </w:r>
    </w:p>
    <w:p>
      <w:pPr>
        <w:numPr>
          <w:ilvl w:val="0"/>
          <w:numId w:val="148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 период действия карантина запретить вывоз собак и кошек за пределы неблагополучного пункта, проведение выставок собак и кошек, выводок и натаски собак, торговлю домашними животными, отлов диких животных на территории неблагополучного пункта и в угрожаемой зоне для вывоза в зоопарки с целью расселения в других районах.</w:t>
      </w:r>
    </w:p>
    <w:p>
      <w:pPr>
        <w:tabs>
          <w:tab w:val="left" w:pos="16776649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16776649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Осуществлять координацию действий и оказание при необходимости практической помощи:</w:t>
      </w:r>
    </w:p>
    <w:p>
      <w:pPr>
        <w:numPr>
          <w:ilvl w:val="0"/>
          <w:numId w:val="152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ветеринарной службе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осуществлению превентивных мероприятий, направленных на недопущение заноса инфекционных заболеваний, по проведению вакцинации сельскохозяйственных животных и птицы;</w:t>
      </w:r>
    </w:p>
    <w:p>
      <w:pPr>
        <w:numPr>
          <w:ilvl w:val="0"/>
          <w:numId w:val="152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муниципальным службам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расчистке населенных пунктов и прилегающих территорий от несанкционированных свалок мусора (ТБО, пищевых отходов), по заключению договоров на проведение дератизационных мероприятий;</w:t>
      </w:r>
    </w:p>
    <w:p>
      <w:pPr>
        <w:numPr>
          <w:ilvl w:val="0"/>
          <w:numId w:val="152"/>
        </w:numPr>
        <w:tabs>
          <w:tab w:val="left" w:pos="16776649" w:leader="none"/>
          <w:tab w:val="left" w:pos="284" w:leader="none"/>
        </w:tabs>
        <w:spacing w:before="0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совместно с управлениями образования отслеживать заболеваемость среди детей и ограничить массовые мероприятия с их участием.</w:t>
      </w:r>
    </w:p>
    <w:p>
      <w:pPr>
        <w:suppressAutoHyphens w:val="true"/>
        <w:spacing w:before="288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</w:pP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FFFFFF" w:val="clear"/>
        </w:rPr>
        <w:t xml:space="preserve">Главное управление МЧС России по Республике Мордовия рекомендует.</w:t>
      </w:r>
    </w:p>
    <w:p>
      <w:pPr>
        <w:suppressAutoHyphens w:val="true"/>
        <w:spacing w:before="288" w:after="10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  <w:t xml:space="preserve">Рекомендации населению для предотвращения взрыва газовых баллонов: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использовать только новые или прошедшие соответствующую своевременную проверку газовые баллоны;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осуществлять заправку баллонов только на специализированных пунктах, предназначенных для наполнения бытовых баллонов, оборудованных весовой установкой, контрольными весами, обеспечивающими нормативную точность взвешивания, сосудом (баллоном) для слива газа из переполненных баллонов;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допускать хранение газовых баллонов в жилых домах, квартирах, а также ни в коем случае, не допускать нагрев корпуса баллона (воздействие отопительных приборов, открытого пламени, заноса в помещения температура воздуха в котором значительно выше температуры корпуса баллона и т.п.</w:t>
      </w:r>
    </w:p>
    <w:p>
      <w:pPr>
        <w:suppressAutoHyphens w:val="true"/>
        <w:spacing w:before="288" w:after="0" w:line="240"/>
        <w:ind w:right="0" w:left="0" w:firstLine="426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</w:pPr>
    </w:p>
    <w:p>
      <w:pPr>
        <w:suppressAutoHyphens w:val="true"/>
        <w:spacing w:before="288" w:after="0" w:line="240"/>
        <w:ind w:right="0" w:left="0" w:firstLine="426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  <w:t xml:space="preserve">Правила эксплуатации электробытовых приборов: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электропроводку и электрооборудование в квартирах и хозяйственных постройках содержите в исправном состоянии;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для защиты электросетей от короткого замыкания и перегрузок применяйте предохранители только заводского изготовления;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электроутюги, электроплитки, электрочайники и другие электронагревательные приборы устанавливайте на несгораемые подставки и размещайте их подальше от мебели, ковров, штор и других сгораемых материалов;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 случае нагревания электророзетки, электровилки, искрения или короткого замыкания электропроводки или электроприборов немедленно отключите их и организуйте ремонт с помощью специалиста;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применяйте для обогрева помещений самодельные электрообогреватели;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закрывайте электрические лампы люстр, бра, настольных электроламп и других светильников бумагой и тканями;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сушите одежду и другие сгораемые материалы над электронагревательными приборами;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оставляйте без присмотра взрослых включенные в электросеть электрические приборы (плитки, чайники, приемники, телевизоры, магнитофоны и т.п.);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эксплуатация электропроводки с поврежденной или ветхой изоляцией запрещена;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содержите в исправном состоянии электрические выключатели, розетки и вилки;</w:t>
      </w:r>
    </w:p>
    <w:p>
      <w:pPr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не оставляйте детей без присмотра, не поручайте им надзор за включенными электроприборами, обогревательными приборами.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 </w:t>
      </w:r>
    </w:p>
    <w:p>
      <w:pPr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Водителям при тумане:</w:t>
      </w:r>
    </w:p>
    <w:p>
      <w:pPr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 впереди транспортным средством;</w:t>
      </w:r>
    </w:p>
    <w:p>
      <w:pPr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важно учитывать, что туман скрадывает расстояние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видимости.</w:t>
      </w: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288" w:after="0" w:line="240"/>
        <w:ind w:right="0" w:left="-284" w:firstLine="71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Помните! Малейшая неосторожность и беспечность в вопросах пожарной безопасности может привести к большой беде!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В случае пожара, чрезвычайной ситуации звоните по телефону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  <w:t xml:space="preserve">01 или 112.</w:t>
      </w: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-284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Заместитель начальника центра (старший оперативный дежурный)</w:t>
      </w:r>
    </w:p>
    <w:p>
      <w:pPr>
        <w:tabs>
          <w:tab w:val="left" w:pos="10575" w:leader="none"/>
        </w:tabs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ЦУКС ГУ МЧС России по Республике Мордовия</w:t>
      </w:r>
    </w:p>
    <w:p>
      <w:pPr>
        <w:spacing w:before="0" w:after="0" w:line="240"/>
        <w:ind w:right="0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майор внутренней службы                                                                                  И.Ю. Логинов</w:t>
      </w: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6705" w:leader="none"/>
        </w:tabs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567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  <w:t xml:space="preserve">Смирнова Л.Р.</w:t>
      </w:r>
    </w:p>
    <w:p>
      <w:pPr>
        <w:spacing w:before="0" w:after="0" w:line="240"/>
        <w:ind w:right="0" w:left="-284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  <w:t xml:space="preserve">8(8342) 28-31-05</w:t>
      </w:r>
    </w:p>
    <w:p>
      <w:pPr>
        <w:spacing w:before="0" w:after="0" w:line="240"/>
        <w:ind w:right="0" w:left="-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18"/>
          <w:shd w:fill="auto" w:val="clear"/>
        </w:rPr>
        <w:t xml:space="preserve">ВЦСС: 36-160-105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135">
    <w:abstractNumId w:val="30"/>
  </w:num>
  <w:num w:numId="138">
    <w:abstractNumId w:val="24"/>
  </w:num>
  <w:num w:numId="141">
    <w:abstractNumId w:val="18"/>
  </w:num>
  <w:num w:numId="143">
    <w:abstractNumId w:val="12"/>
  </w:num>
  <w:num w:numId="148">
    <w:abstractNumId w:val="6"/>
  </w:num>
  <w:num w:numId="15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